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7AB" w:rsidRDefault="00A827AB" w:rsidP="008A7C4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602897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+1 класс 2024 и РП\+РП 1 класс 2024\сканы ттульники\чт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+1 класс 2024 и РП\+РП 1 класс 2024\сканы ттульники\чтение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7AB" w:rsidRDefault="00A827AB" w:rsidP="008A7C4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27AB" w:rsidRDefault="00A827AB" w:rsidP="008A7C4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27AB" w:rsidRDefault="00A827AB" w:rsidP="008A7C4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27AB" w:rsidRDefault="00A827AB" w:rsidP="008A7C4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38E4" w:rsidRPr="003B7F0F" w:rsidRDefault="00AA38E4" w:rsidP="008A7C4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38E4" w:rsidRPr="003B7F0F" w:rsidRDefault="00AA38E4" w:rsidP="00AA38E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38E4" w:rsidRPr="003B7F0F" w:rsidRDefault="00AA38E4" w:rsidP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A38E4" w:rsidRPr="003B7F0F" w:rsidRDefault="00AA38E4" w:rsidP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A38E4" w:rsidRPr="003B7F0F" w:rsidRDefault="00AA38E4" w:rsidP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A38E4" w:rsidRPr="003B7F0F" w:rsidRDefault="00AA38E4" w:rsidP="00AA38E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38E4" w:rsidRPr="003B7F0F" w:rsidRDefault="00AA38E4" w:rsidP="00AA38E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AA38E4" w:rsidRPr="003B7F0F" w:rsidRDefault="00AA38E4" w:rsidP="00AA38E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A38E4" w:rsidRPr="003B7F0F" w:rsidRDefault="00AA38E4" w:rsidP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сформулированные в федеральной </w:t>
      </w:r>
      <w:r w:rsidRPr="003B7F0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AA38E4" w:rsidRPr="003B7F0F" w:rsidRDefault="00AA38E4" w:rsidP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A38E4" w:rsidRPr="003B7F0F" w:rsidRDefault="00AA38E4" w:rsidP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83555" w:rsidRPr="003B7F0F" w:rsidRDefault="006835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AA38E4" w:rsidRPr="00A827AB" w:rsidTr="00AA38E4">
        <w:tc>
          <w:tcPr>
            <w:tcW w:w="3114" w:type="dxa"/>
          </w:tcPr>
          <w:p w:rsidR="00AA38E4" w:rsidRPr="003B7F0F" w:rsidRDefault="00AA38E4" w:rsidP="00AA38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3555" w:rsidRPr="003B7F0F" w:rsidRDefault="00683555" w:rsidP="00AA38E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 w:rsidP="008A7C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683555" w:rsidRPr="003B7F0F">
          <w:pgSz w:w="11906" w:h="16383"/>
          <w:pgMar w:top="1134" w:right="850" w:bottom="1134" w:left="1701" w:header="720" w:footer="720" w:gutter="0"/>
          <w:cols w:space="720"/>
        </w:sect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83555" w:rsidRPr="003B7F0F" w:rsidRDefault="00AA38E4" w:rsidP="00AA38E4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602898"/>
      <w:bookmarkEnd w:id="0"/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 «ЛИТЕРАТУРНОЕ ЧТЕНИЕ»</w:t>
      </w:r>
    </w:p>
    <w:p w:rsidR="00683555" w:rsidRPr="003B7F0F" w:rsidRDefault="0068355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83555" w:rsidRPr="003B7F0F" w:rsidRDefault="00AA38E4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B7F0F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изучения литературного чтения включают личностные,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83555" w:rsidRPr="003B7F0F" w:rsidRDefault="00AA38E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683555" w:rsidRPr="003B7F0F" w:rsidRDefault="0068355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3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83555" w:rsidRPr="003B7F0F" w:rsidRDefault="00683555">
      <w:pPr>
        <w:rPr>
          <w:rFonts w:ascii="Times New Roman" w:hAnsi="Times New Roman" w:cs="Times New Roman"/>
          <w:sz w:val="24"/>
          <w:szCs w:val="24"/>
          <w:lang w:val="ru-RU"/>
        </w:rPr>
        <w:sectPr w:rsidR="00683555" w:rsidRPr="003B7F0F">
          <w:pgSz w:w="11906" w:h="16383"/>
          <w:pgMar w:top="1134" w:right="850" w:bottom="1134" w:left="1701" w:header="720" w:footer="720" w:gutter="0"/>
          <w:cols w:space="720"/>
        </w:sectPr>
      </w:pPr>
    </w:p>
    <w:p w:rsidR="00683555" w:rsidRPr="003B7F0F" w:rsidRDefault="00AA38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602896"/>
      <w:bookmarkEnd w:id="2"/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5" w:name="_ftnref1"/>
      <w:r w:rsidR="00683555" w:rsidRPr="003B7F0F">
        <w:rPr>
          <w:rFonts w:ascii="Times New Roman" w:hAnsi="Times New Roman" w:cs="Times New Roman"/>
          <w:sz w:val="24"/>
          <w:szCs w:val="24"/>
        </w:rPr>
        <w:fldChar w:fldCharType="begin"/>
      </w:r>
      <w:r w:rsidR="00683555" w:rsidRPr="003B7F0F">
        <w:rPr>
          <w:rFonts w:ascii="Times New Roman" w:hAnsi="Times New Roman" w:cs="Times New Roman"/>
          <w:sz w:val="24"/>
          <w:szCs w:val="24"/>
        </w:rPr>
        <w:instrText>HYPERLINK</w:instrText>
      </w:r>
      <w:r w:rsidR="00683555" w:rsidRPr="003B7F0F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683555" w:rsidRPr="003B7F0F">
        <w:rPr>
          <w:rFonts w:ascii="Times New Roman" w:hAnsi="Times New Roman" w:cs="Times New Roman"/>
          <w:sz w:val="24"/>
          <w:szCs w:val="24"/>
        </w:rPr>
        <w:instrText>l</w:instrText>
      </w:r>
      <w:r w:rsidR="00683555" w:rsidRPr="003B7F0F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683555" w:rsidRPr="003B7F0F">
        <w:rPr>
          <w:rFonts w:ascii="Times New Roman" w:hAnsi="Times New Roman" w:cs="Times New Roman"/>
          <w:sz w:val="24"/>
          <w:szCs w:val="24"/>
        </w:rPr>
        <w:instrText>ftn</w:instrText>
      </w:r>
      <w:r w:rsidR="00683555" w:rsidRPr="003B7F0F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683555" w:rsidRPr="003B7F0F">
        <w:rPr>
          <w:rFonts w:ascii="Times New Roman" w:hAnsi="Times New Roman" w:cs="Times New Roman"/>
          <w:sz w:val="24"/>
          <w:szCs w:val="24"/>
        </w:rPr>
        <w:instrText>h</w:instrText>
      </w:r>
      <w:r w:rsidR="00683555" w:rsidRPr="003B7F0F">
        <w:rPr>
          <w:rFonts w:ascii="Times New Roman" w:hAnsi="Times New Roman" w:cs="Times New Roman"/>
          <w:sz w:val="24"/>
          <w:szCs w:val="24"/>
        </w:rPr>
        <w:fldChar w:fldCharType="separate"/>
      </w:r>
      <w:r w:rsidRPr="003B7F0F"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  <w:t>[1]</w:t>
      </w:r>
      <w:r w:rsidR="00683555" w:rsidRPr="003B7F0F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6" w:name="192040c8-9be0-4bcc-9f47-45c543c4cd5f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6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7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Произведения о родной природе. 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8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9" w:name="a3da6f91-f80f-4d4a-8e62-998ba5c8e117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9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10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3B7F0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1" w:name="1276de16-2d11-43d3-bead-a64a93ae8cc5"/>
      <w:r w:rsidRPr="003B7F0F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1"/>
      <w:r w:rsidRPr="003B7F0F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83555" w:rsidRPr="003B7F0F" w:rsidRDefault="00AA38E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83555" w:rsidRPr="003B7F0F" w:rsidRDefault="00AA38E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683555" w:rsidRPr="003B7F0F" w:rsidRDefault="00AA38E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683555" w:rsidRPr="003B7F0F" w:rsidRDefault="00AA38E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83555" w:rsidRPr="003B7F0F" w:rsidRDefault="00AA38E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83555" w:rsidRPr="003B7F0F" w:rsidRDefault="00AA38E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83555" w:rsidRPr="003B7F0F" w:rsidRDefault="00AA38E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683555" w:rsidRPr="003B7F0F" w:rsidRDefault="00AA38E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83555" w:rsidRPr="003B7F0F" w:rsidRDefault="00AA38E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683555" w:rsidRPr="003B7F0F" w:rsidRDefault="00AA38E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683555" w:rsidRPr="003B7F0F" w:rsidRDefault="00AA38E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83555" w:rsidRPr="003B7F0F" w:rsidRDefault="00AA38E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683555" w:rsidRPr="003B7F0F" w:rsidRDefault="00AA38E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83555" w:rsidRPr="003B7F0F" w:rsidRDefault="00AA38E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83555" w:rsidRPr="003B7F0F" w:rsidRDefault="00AA38E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683555" w:rsidRPr="003B7F0F" w:rsidRDefault="00AA38E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683555" w:rsidRPr="003B7F0F" w:rsidRDefault="00AA38E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683555" w:rsidRPr="003B7F0F" w:rsidRDefault="00AA38E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Start w:id="12" w:name="_ftn1"/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sz w:val="24"/>
          <w:szCs w:val="24"/>
        </w:rPr>
        <w:fldChar w:fldCharType="begin"/>
      </w:r>
      <w:r w:rsidRPr="003B7F0F">
        <w:rPr>
          <w:rFonts w:ascii="Times New Roman" w:hAnsi="Times New Roman" w:cs="Times New Roman"/>
          <w:sz w:val="24"/>
          <w:szCs w:val="24"/>
        </w:rPr>
        <w:instrText>HYPERLINK</w:instrText>
      </w:r>
      <w:r w:rsidRPr="003B7F0F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Pr="003B7F0F">
        <w:rPr>
          <w:rFonts w:ascii="Times New Roman" w:hAnsi="Times New Roman" w:cs="Times New Roman"/>
          <w:sz w:val="24"/>
          <w:szCs w:val="24"/>
        </w:rPr>
        <w:instrText>l</w:instrText>
      </w:r>
      <w:r w:rsidRPr="003B7F0F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3B7F0F">
        <w:rPr>
          <w:rFonts w:ascii="Times New Roman" w:hAnsi="Times New Roman" w:cs="Times New Roman"/>
          <w:sz w:val="24"/>
          <w:szCs w:val="24"/>
        </w:rPr>
        <w:instrText>ftnref</w:instrText>
      </w:r>
      <w:r w:rsidRPr="003B7F0F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3B7F0F">
        <w:rPr>
          <w:rFonts w:ascii="Times New Roman" w:hAnsi="Times New Roman" w:cs="Times New Roman"/>
          <w:sz w:val="24"/>
          <w:szCs w:val="24"/>
        </w:rPr>
        <w:instrText>h</w:instrText>
      </w:r>
      <w:r w:rsidRPr="003B7F0F">
        <w:rPr>
          <w:rFonts w:ascii="Times New Roman" w:hAnsi="Times New Roman" w:cs="Times New Roman"/>
          <w:sz w:val="24"/>
          <w:szCs w:val="24"/>
        </w:rPr>
        <w:fldChar w:fldCharType="separate"/>
      </w:r>
      <w:r w:rsidR="00AA38E4" w:rsidRPr="003B7F0F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 w:rsidRPr="003B7F0F">
        <w:rPr>
          <w:rFonts w:ascii="Times New Roman" w:hAnsi="Times New Roman" w:cs="Times New Roman"/>
          <w:sz w:val="24"/>
          <w:szCs w:val="24"/>
        </w:rPr>
        <w:fldChar w:fldCharType="end"/>
      </w:r>
      <w:bookmarkEnd w:id="12"/>
      <w:r w:rsidR="00AA38E4"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683555" w:rsidRPr="003B7F0F" w:rsidRDefault="00683555">
      <w:pPr>
        <w:rPr>
          <w:rFonts w:ascii="Times New Roman" w:hAnsi="Times New Roman" w:cs="Times New Roman"/>
          <w:sz w:val="24"/>
          <w:szCs w:val="24"/>
          <w:lang w:val="ru-RU"/>
        </w:rPr>
        <w:sectPr w:rsidR="00683555" w:rsidRPr="003B7F0F">
          <w:pgSz w:w="11906" w:h="16383"/>
          <w:pgMar w:top="1134" w:right="850" w:bottom="1134" w:left="1701" w:header="720" w:footer="720" w:gutter="0"/>
          <w:cols w:space="720"/>
        </w:sectPr>
      </w:pPr>
    </w:p>
    <w:p w:rsidR="00683555" w:rsidRPr="003B7F0F" w:rsidRDefault="00AA38E4" w:rsidP="00AA38E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24602900"/>
      <w:bookmarkEnd w:id="4"/>
      <w:r w:rsidRPr="003B7F0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3B7F0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83555" w:rsidRPr="003B7F0F" w:rsidRDefault="00AA38E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83555" w:rsidRPr="003B7F0F" w:rsidRDefault="00AA38E4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83555" w:rsidRPr="003B7F0F" w:rsidRDefault="00AA38E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83555" w:rsidRPr="003B7F0F" w:rsidRDefault="00AA38E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83555" w:rsidRPr="003B7F0F" w:rsidRDefault="00AA38E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83555" w:rsidRPr="003B7F0F" w:rsidRDefault="00AA38E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83555" w:rsidRPr="003B7F0F" w:rsidRDefault="00AA38E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83555" w:rsidRPr="003B7F0F" w:rsidRDefault="00AA38E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83555" w:rsidRPr="003B7F0F" w:rsidRDefault="00AA38E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683555" w:rsidRPr="003B7F0F" w:rsidRDefault="00AA38E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83555" w:rsidRPr="003B7F0F" w:rsidRDefault="00AA38E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683555" w:rsidRPr="003B7F0F" w:rsidRDefault="00AA38E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83555" w:rsidRPr="003B7F0F" w:rsidRDefault="00AA38E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83555" w:rsidRPr="003B7F0F" w:rsidRDefault="00AA38E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83555" w:rsidRPr="003B7F0F" w:rsidRDefault="00AA38E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83555" w:rsidRPr="003B7F0F" w:rsidRDefault="00AA38E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683555" w:rsidRPr="003B7F0F" w:rsidRDefault="00AA38E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683555" w:rsidRPr="003B7F0F" w:rsidRDefault="00AA38E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83555" w:rsidRPr="003B7F0F" w:rsidRDefault="00AA38E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83555" w:rsidRPr="003B7F0F" w:rsidRDefault="00AA38E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83555" w:rsidRPr="003B7F0F" w:rsidRDefault="00AA38E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83555" w:rsidRPr="003B7F0F" w:rsidRDefault="00AA38E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83555" w:rsidRPr="003B7F0F" w:rsidRDefault="00AA38E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83555" w:rsidRPr="003B7F0F" w:rsidRDefault="00AA38E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83555" w:rsidRPr="003B7F0F" w:rsidRDefault="00AA38E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83555" w:rsidRPr="003B7F0F" w:rsidRDefault="00AA38E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83555" w:rsidRPr="003B7F0F" w:rsidRDefault="00AA38E4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7F0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proofErr w:type="spellEnd"/>
      <w:proofErr w:type="gramEnd"/>
      <w:r w:rsidRPr="003B7F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683555" w:rsidRPr="003B7F0F" w:rsidRDefault="00AA38E4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83555" w:rsidRPr="003B7F0F" w:rsidRDefault="00AA38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3555" w:rsidRPr="003B7F0F" w:rsidRDefault="00AA38E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83555" w:rsidRPr="003B7F0F" w:rsidRDefault="00AA38E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3555" w:rsidRPr="003B7F0F" w:rsidRDefault="00AA38E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683555" w:rsidRPr="003B7F0F" w:rsidRDefault="00AA38E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83555" w:rsidRPr="003B7F0F" w:rsidRDefault="00AA38E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83555" w:rsidRPr="003B7F0F" w:rsidRDefault="00AA38E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83555" w:rsidRPr="003B7F0F" w:rsidRDefault="00683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3B7F0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3B7F0F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3B7F0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83555" w:rsidRPr="003B7F0F" w:rsidRDefault="00AA38E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83555" w:rsidRPr="007C77F4" w:rsidRDefault="00683555">
      <w:pPr>
        <w:rPr>
          <w:rFonts w:ascii="Times New Roman" w:hAnsi="Times New Roman" w:cs="Times New Roman"/>
          <w:sz w:val="24"/>
          <w:szCs w:val="24"/>
          <w:lang w:val="ru-RU"/>
        </w:rPr>
        <w:sectPr w:rsidR="00683555" w:rsidRPr="007C77F4">
          <w:pgSz w:w="11906" w:h="16383"/>
          <w:pgMar w:top="1134" w:right="850" w:bottom="1134" w:left="1701" w:header="720" w:footer="720" w:gutter="0"/>
          <w:cols w:space="720"/>
        </w:sectPr>
      </w:pPr>
    </w:p>
    <w:p w:rsidR="00683555" w:rsidRPr="003B7F0F" w:rsidRDefault="00AA38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24602899"/>
      <w:bookmarkEnd w:id="13"/>
      <w:r w:rsidRPr="007C77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83555" w:rsidRPr="003B7F0F" w:rsidRDefault="00AA38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683555" w:rsidRPr="003B7F0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555" w:rsidRPr="003B7F0F" w:rsidRDefault="0068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555" w:rsidRPr="003B7F0F" w:rsidRDefault="0068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555" w:rsidRPr="003B7F0F" w:rsidRDefault="0068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55" w:rsidRPr="003B7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AA38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83555" w:rsidRPr="003B7F0F" w:rsidRDefault="00683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555" w:rsidRPr="003B7F0F" w:rsidRDefault="00683555">
      <w:pPr>
        <w:rPr>
          <w:rFonts w:ascii="Times New Roman" w:hAnsi="Times New Roman" w:cs="Times New Roman"/>
          <w:sz w:val="24"/>
          <w:szCs w:val="24"/>
        </w:rPr>
        <w:sectPr w:rsidR="00683555" w:rsidRPr="003B7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555" w:rsidRPr="003B7F0F" w:rsidRDefault="00AA38E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24602903"/>
      <w:bookmarkEnd w:id="14"/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683555" w:rsidRPr="003B7F0F" w:rsidRDefault="00AA38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B7F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4731"/>
        <w:gridCol w:w="1174"/>
        <w:gridCol w:w="1841"/>
        <w:gridCol w:w="1910"/>
        <w:gridCol w:w="2888"/>
      </w:tblGrid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D" w:rsidRPr="003B7F0F" w:rsidRDefault="0028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D" w:rsidRPr="003B7F0F" w:rsidRDefault="0028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7F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D" w:rsidRPr="003B7F0F" w:rsidRDefault="0028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Устная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7F4" w:rsidRPr="007C77F4" w:rsidRDefault="00A827AB" w:rsidP="007C77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education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7C77F4" w:rsidRPr="007C77F4" w:rsidRDefault="00A827AB" w:rsidP="007C77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C77F4"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7C77F4" w:rsidRPr="007C77F4" w:rsidRDefault="007C77F4" w:rsidP="007C77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educont</w:t>
              </w:r>
              <w:r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C77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7C77F4" w:rsidRPr="003B7F0F" w:rsidRDefault="00A827AB" w:rsidP="007C77F4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C77F4" w:rsidRPr="003B7F0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слог. Как образуется слог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а. Звук [а]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буквы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 в слоге-слиянии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о. Звук [о]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буквы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 в слоге-слиянии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и. Звук [и]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и, их функция в слоге-слиянии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у. Звук [у]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с. Звуки [с], [с’]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к. Звуки [к], [к’]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буквами Л, л. Согласные звуки [л], [л’]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р. Согласные звуки [р], [р’]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в. Согласные звуки [в], [в’]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е. Звуки [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й’э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[’э]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п. Согласные звуки [п], [п’]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з. Звуки [з], [з’]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з. Отработка навыка чтения предложений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д. Согласные звуки [д], [д’]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д. Сопоставление звуков [д] - [т]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буквами Я, я. Звуки [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й’а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], [’а].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Двойная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В.Г.Сутеев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"Дядя Миша".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буквами Ч, ч. Звук [ч’].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 — ЧУ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буквами Ч, ч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А.Л.Барто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"В школу".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ш. Звук [ш]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ш. Слушание литературного произведения о животных.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М.М.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Пришвин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ж. Сочетания ЖИ — ШИ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ё. Звуки [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й’о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[’о]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Железников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 История с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азбукой".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роведение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ю.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й’у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[’у]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ц. Согласный звук [ц]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проивзедений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Д. Берестов. «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Читалочка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Е. И.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щ. Звук [щ’]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щ. Сочетания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 — ЩА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ЧУ — ЩУ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буквами Ф, ф. Звук [ф]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А.Л.Барто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бобщение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знаний о буквах.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С.Я.Маршак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"Ты эти буквы заучи"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К.Чуковского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"Муха-Цокотуха"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пределение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темы произведения: о животных. На примере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произведений Е.И.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.Ч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Токмаковой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«Аля,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Кляксич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буква «А»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Лисица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тетерев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Сутеева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"Под грибом", "Кораблик"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Петух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собака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загадка, пословица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Заходер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"Моя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Вообразилия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", Ю.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Мориц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"Сто фантазий" и других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Открытие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чудесного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Сефа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«Чудо»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детскими книгами.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Отражении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"Помощник"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Ю.И.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Ермолаев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Пермяка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Торопливый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ножик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«Я – лишний», Р. С.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Сефа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С.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Сердитый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Буль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близким</w:t>
            </w:r>
            <w:proofErr w:type="gram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прочитанной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 w:rsidP="00BD4A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 w:rsidP="00BD4A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 w:rsidP="00BD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 w:rsidP="00BD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 w:rsidP="00BD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 w:rsidP="00BD4A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понятий: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любовь и забота о животных. На примере произведения М.М. Пришвина "Ёж" и других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Осеевой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Плохо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Собаки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Родины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19D" w:rsidRPr="003B7F0F" w:rsidTr="0028319D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19D" w:rsidRPr="003B7F0F" w:rsidRDefault="00283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683555" w:rsidRPr="003B7F0F" w:rsidRDefault="00683555">
      <w:pPr>
        <w:rPr>
          <w:rFonts w:ascii="Times New Roman" w:hAnsi="Times New Roman" w:cs="Times New Roman"/>
          <w:sz w:val="24"/>
          <w:szCs w:val="24"/>
        </w:rPr>
        <w:sectPr w:rsidR="00683555" w:rsidRPr="003B7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555" w:rsidRPr="003B7F0F" w:rsidRDefault="00AA38E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24602902"/>
      <w:bookmarkEnd w:id="15"/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83555" w:rsidRPr="003B7F0F" w:rsidRDefault="00AA38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B7F0F" w:rsidRPr="003B7F0F" w:rsidRDefault="003B7F0F" w:rsidP="003B7F0F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Климанова Л. Ф., Горецкий В. Г., Голованова М. В. и др. Литературное чтение. 1 класс. В 2 частях (+электронное приложение)</w:t>
      </w:r>
    </w:p>
    <w:p w:rsidR="003B7F0F" w:rsidRPr="003B7F0F" w:rsidRDefault="003B7F0F" w:rsidP="003B7F0F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Бойкина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М. В., Виноградская Л. А. Литературное чтение. Рабочая тетрадь. 1 класс</w:t>
      </w:r>
    </w:p>
    <w:p w:rsidR="00683555" w:rsidRPr="003B7F0F" w:rsidRDefault="006835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83555" w:rsidRPr="003B7F0F" w:rsidRDefault="00AA38E4" w:rsidP="003B7F0F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8319D" w:rsidRPr="003B7F0F" w:rsidRDefault="0028319D" w:rsidP="0028319D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Горецкий В. Г., </w:t>
      </w: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Белянкова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Н. М. Обучение грамоте. Методическое пособие с поурочными разработками. </w:t>
      </w:r>
      <w:r w:rsidRPr="003B7F0F">
        <w:rPr>
          <w:rFonts w:ascii="Times New Roman" w:eastAsia="OfficinaSansC-Book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eastAsia="ru-RU"/>
        </w:rPr>
        <w:t>класс</w:t>
      </w:r>
      <w:proofErr w:type="spellEnd"/>
    </w:p>
    <w:p w:rsidR="0028319D" w:rsidRPr="008A7C42" w:rsidRDefault="0028319D" w:rsidP="0028319D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Бойкина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М. В., </w:t>
      </w:r>
      <w:proofErr w:type="gram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Илюшин</w:t>
      </w:r>
      <w:proofErr w:type="gram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Л. С., Галактионова Т. Г. и др. Литературное чтение. Поурочные разработки. Технологические карты уроков. </w:t>
      </w:r>
      <w:r w:rsidRPr="008A7C42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1 класс</w:t>
      </w:r>
    </w:p>
    <w:p w:rsidR="0028319D" w:rsidRPr="003B7F0F" w:rsidRDefault="0028319D" w:rsidP="0028319D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</w:p>
    <w:p w:rsidR="0028319D" w:rsidRPr="003B7F0F" w:rsidRDefault="0028319D" w:rsidP="0028319D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Хиленко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Т. П. Типовые задачи по формированию универсальных учебных действий. Работа с информацией. 1 класс</w:t>
      </w:r>
    </w:p>
    <w:p w:rsidR="0028319D" w:rsidRPr="003B7F0F" w:rsidRDefault="0028319D" w:rsidP="0028319D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Логинова О. Б., Яковлева С. Г. / Под ред. Логиновой О. Б. Мои достижения. </w:t>
      </w:r>
      <w:r w:rsidRPr="007C77F4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Итоговые комплексные работы. 1 класс</w:t>
      </w:r>
    </w:p>
    <w:p w:rsidR="0028319D" w:rsidRPr="003B7F0F" w:rsidRDefault="0028319D" w:rsidP="0028319D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</w:pP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Асмолов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А. Г., </w:t>
      </w: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Бурменская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Г. В., Володарская И. А. и др. / Под ред. </w:t>
      </w: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Асмолова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А. Г. Как проектировать универсальные учебные действия в начальной школе. </w:t>
      </w:r>
      <w:r w:rsidRPr="007C77F4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От действия к мысли</w:t>
      </w:r>
    </w:p>
    <w:p w:rsidR="0028319D" w:rsidRPr="003B7F0F" w:rsidRDefault="0028319D" w:rsidP="0028319D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color w:val="000000"/>
          <w:sz w:val="24"/>
          <w:szCs w:val="24"/>
          <w:lang w:val="ru-RU" w:eastAsia="ru-RU"/>
        </w:rPr>
      </w:pPr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Алексеева Л. Л., </w:t>
      </w:r>
      <w:proofErr w:type="spellStart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>Биболетова</w:t>
      </w:r>
      <w:proofErr w:type="spellEnd"/>
      <w:r w:rsidRPr="003B7F0F">
        <w:rPr>
          <w:rFonts w:ascii="Times New Roman" w:eastAsia="OfficinaSansC-Book" w:hAnsi="Times New Roman" w:cs="Times New Roman"/>
          <w:sz w:val="24"/>
          <w:szCs w:val="24"/>
          <w:lang w:val="ru-RU" w:eastAsia="ru-RU"/>
        </w:rPr>
        <w:t xml:space="preserve"> М. З., Вахрушев А. А. и др. / Под ред. Ковалёвой Г. С., Логиновой О. Б. Оценка достижения планируемых результатов в начальной школе. Система заданий. В 3-х ч. Ч. 2</w:t>
      </w:r>
    </w:p>
    <w:p w:rsidR="0028319D" w:rsidRPr="003B7F0F" w:rsidRDefault="0028319D" w:rsidP="003B7F0F">
      <w:pPr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color w:val="000000"/>
          <w:sz w:val="24"/>
          <w:szCs w:val="24"/>
          <w:lang w:val="ru-RU" w:eastAsia="ru-RU"/>
        </w:rPr>
      </w:pPr>
    </w:p>
    <w:p w:rsidR="00683555" w:rsidRPr="003B7F0F" w:rsidRDefault="00AA38E4" w:rsidP="003B7F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7F0F" w:rsidRPr="003B7F0F" w:rsidRDefault="00AA38E4" w:rsidP="003B7F0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B7F0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3B7F0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history="1"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education</w:t>
        </w:r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3B7F0F" w:rsidRPr="003B7F0F" w:rsidRDefault="00A827AB" w:rsidP="003B7F0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12" w:history="1"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uchi</w:t>
        </w:r>
        <w:proofErr w:type="spellEnd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3B7F0F" w:rsidRPr="003B7F0F" w:rsidRDefault="003B7F0F" w:rsidP="003B7F0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B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3" w:history="1">
        <w:r w:rsidRPr="003B7F0F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3B7F0F">
          <w:rPr>
            <w:rStyle w:val="ab"/>
            <w:rFonts w:ascii="Times New Roman" w:hAnsi="Times New Roman" w:cs="Times New Roman"/>
            <w:sz w:val="24"/>
            <w:szCs w:val="24"/>
          </w:rPr>
          <w:t>educont</w:t>
        </w:r>
        <w:proofErr w:type="spellEnd"/>
        <w:r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3B7F0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3B7F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3B7F0F" w:rsidRPr="003B7F0F" w:rsidRDefault="00A827AB" w:rsidP="003B7F0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B7F0F" w:rsidRPr="003B7F0F">
          <w:rPr>
            <w:rStyle w:val="ab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683555" w:rsidRPr="003B7F0F" w:rsidRDefault="006835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7F0F" w:rsidRPr="003B7F0F" w:rsidRDefault="003B7F0F">
      <w:pPr>
        <w:rPr>
          <w:rFonts w:ascii="Times New Roman" w:hAnsi="Times New Roman" w:cs="Times New Roman"/>
          <w:sz w:val="24"/>
          <w:szCs w:val="24"/>
          <w:lang w:val="ru-RU"/>
        </w:rPr>
        <w:sectPr w:rsidR="003B7F0F" w:rsidRPr="003B7F0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A38E4" w:rsidRPr="003B7F0F" w:rsidRDefault="00AA38E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A38E4" w:rsidRPr="003B7F0F" w:rsidSect="006835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2BD6"/>
    <w:multiLevelType w:val="multilevel"/>
    <w:tmpl w:val="B49E9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87576"/>
    <w:multiLevelType w:val="multilevel"/>
    <w:tmpl w:val="DF740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D4383"/>
    <w:multiLevelType w:val="multilevel"/>
    <w:tmpl w:val="86D28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C0DF4"/>
    <w:multiLevelType w:val="multilevel"/>
    <w:tmpl w:val="0CFA3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D34C7B"/>
    <w:multiLevelType w:val="multilevel"/>
    <w:tmpl w:val="BCEAF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02F8A"/>
    <w:multiLevelType w:val="multilevel"/>
    <w:tmpl w:val="10EC7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42B7C"/>
    <w:multiLevelType w:val="multilevel"/>
    <w:tmpl w:val="BA2CC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A6"/>
    <w:multiLevelType w:val="multilevel"/>
    <w:tmpl w:val="75385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85C2C"/>
    <w:multiLevelType w:val="multilevel"/>
    <w:tmpl w:val="90C2D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66098F"/>
    <w:multiLevelType w:val="multilevel"/>
    <w:tmpl w:val="D22A2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E769E1"/>
    <w:multiLevelType w:val="multilevel"/>
    <w:tmpl w:val="36DCE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3C1C59"/>
    <w:multiLevelType w:val="multilevel"/>
    <w:tmpl w:val="6EBA5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6B670E"/>
    <w:multiLevelType w:val="multilevel"/>
    <w:tmpl w:val="96E8A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927C7F"/>
    <w:multiLevelType w:val="multilevel"/>
    <w:tmpl w:val="E9F88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C90392"/>
    <w:multiLevelType w:val="multilevel"/>
    <w:tmpl w:val="67D6F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EA084B"/>
    <w:multiLevelType w:val="multilevel"/>
    <w:tmpl w:val="907C8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3D03C6"/>
    <w:multiLevelType w:val="multilevel"/>
    <w:tmpl w:val="C4C8A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153978"/>
    <w:multiLevelType w:val="multilevel"/>
    <w:tmpl w:val="D1F06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415721"/>
    <w:multiLevelType w:val="multilevel"/>
    <w:tmpl w:val="B4E43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233A19"/>
    <w:multiLevelType w:val="multilevel"/>
    <w:tmpl w:val="2B967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60402D"/>
    <w:multiLevelType w:val="multilevel"/>
    <w:tmpl w:val="D706A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0F0FC5"/>
    <w:multiLevelType w:val="multilevel"/>
    <w:tmpl w:val="5E463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30758C"/>
    <w:multiLevelType w:val="multilevel"/>
    <w:tmpl w:val="A0009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9626A4"/>
    <w:multiLevelType w:val="multilevel"/>
    <w:tmpl w:val="43128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96270B"/>
    <w:multiLevelType w:val="multilevel"/>
    <w:tmpl w:val="125A5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B97401"/>
    <w:multiLevelType w:val="multilevel"/>
    <w:tmpl w:val="29CAA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DE7D87"/>
    <w:multiLevelType w:val="multilevel"/>
    <w:tmpl w:val="CD8E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9F000D"/>
    <w:multiLevelType w:val="multilevel"/>
    <w:tmpl w:val="43BE5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897436"/>
    <w:multiLevelType w:val="multilevel"/>
    <w:tmpl w:val="232EF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184942"/>
    <w:multiLevelType w:val="multilevel"/>
    <w:tmpl w:val="78DC0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474C37"/>
    <w:multiLevelType w:val="multilevel"/>
    <w:tmpl w:val="2A4E6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B93BC8"/>
    <w:multiLevelType w:val="multilevel"/>
    <w:tmpl w:val="6A162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4C0669"/>
    <w:multiLevelType w:val="multilevel"/>
    <w:tmpl w:val="5A9A5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DF2771"/>
    <w:multiLevelType w:val="multilevel"/>
    <w:tmpl w:val="CE6CB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7C7FAD"/>
    <w:multiLevelType w:val="multilevel"/>
    <w:tmpl w:val="AA563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D37CB0"/>
    <w:multiLevelType w:val="multilevel"/>
    <w:tmpl w:val="9CB2C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BA5DCB"/>
    <w:multiLevelType w:val="multilevel"/>
    <w:tmpl w:val="EE0E4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9"/>
  </w:num>
  <w:num w:numId="5">
    <w:abstractNumId w:val="18"/>
  </w:num>
  <w:num w:numId="6">
    <w:abstractNumId w:val="1"/>
  </w:num>
  <w:num w:numId="7">
    <w:abstractNumId w:val="15"/>
  </w:num>
  <w:num w:numId="8">
    <w:abstractNumId w:val="35"/>
  </w:num>
  <w:num w:numId="9">
    <w:abstractNumId w:val="33"/>
  </w:num>
  <w:num w:numId="10">
    <w:abstractNumId w:val="7"/>
  </w:num>
  <w:num w:numId="11">
    <w:abstractNumId w:val="20"/>
  </w:num>
  <w:num w:numId="12">
    <w:abstractNumId w:val="3"/>
  </w:num>
  <w:num w:numId="13">
    <w:abstractNumId w:val="2"/>
  </w:num>
  <w:num w:numId="14">
    <w:abstractNumId w:val="26"/>
  </w:num>
  <w:num w:numId="15">
    <w:abstractNumId w:val="34"/>
  </w:num>
  <w:num w:numId="16">
    <w:abstractNumId w:val="4"/>
  </w:num>
  <w:num w:numId="17">
    <w:abstractNumId w:val="37"/>
  </w:num>
  <w:num w:numId="18">
    <w:abstractNumId w:val="36"/>
  </w:num>
  <w:num w:numId="19">
    <w:abstractNumId w:val="6"/>
  </w:num>
  <w:num w:numId="20">
    <w:abstractNumId w:val="23"/>
  </w:num>
  <w:num w:numId="21">
    <w:abstractNumId w:val="22"/>
  </w:num>
  <w:num w:numId="22">
    <w:abstractNumId w:val="24"/>
  </w:num>
  <w:num w:numId="23">
    <w:abstractNumId w:val="27"/>
  </w:num>
  <w:num w:numId="24">
    <w:abstractNumId w:val="19"/>
  </w:num>
  <w:num w:numId="25">
    <w:abstractNumId w:val="29"/>
  </w:num>
  <w:num w:numId="26">
    <w:abstractNumId w:val="10"/>
  </w:num>
  <w:num w:numId="27">
    <w:abstractNumId w:val="14"/>
  </w:num>
  <w:num w:numId="28">
    <w:abstractNumId w:val="17"/>
  </w:num>
  <w:num w:numId="29">
    <w:abstractNumId w:val="13"/>
  </w:num>
  <w:num w:numId="30">
    <w:abstractNumId w:val="25"/>
  </w:num>
  <w:num w:numId="31">
    <w:abstractNumId w:val="12"/>
  </w:num>
  <w:num w:numId="32">
    <w:abstractNumId w:val="30"/>
  </w:num>
  <w:num w:numId="33">
    <w:abstractNumId w:val="16"/>
  </w:num>
  <w:num w:numId="34">
    <w:abstractNumId w:val="32"/>
  </w:num>
  <w:num w:numId="35">
    <w:abstractNumId w:val="28"/>
  </w:num>
  <w:num w:numId="36">
    <w:abstractNumId w:val="0"/>
  </w:num>
  <w:num w:numId="37">
    <w:abstractNumId w:val="31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555"/>
    <w:rsid w:val="000643D4"/>
    <w:rsid w:val="0028319D"/>
    <w:rsid w:val="003B7F0F"/>
    <w:rsid w:val="00683555"/>
    <w:rsid w:val="007C77F4"/>
    <w:rsid w:val="008A7C42"/>
    <w:rsid w:val="00A827AB"/>
    <w:rsid w:val="00AA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35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35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38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educo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cation.yandex.ru/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education.yandex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6204</Words>
  <Characters>35363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6</cp:revision>
  <dcterms:created xsi:type="dcterms:W3CDTF">2023-09-24T17:14:00Z</dcterms:created>
  <dcterms:modified xsi:type="dcterms:W3CDTF">2024-09-23T20:22:00Z</dcterms:modified>
</cp:coreProperties>
</file>